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3C8" w:rsidRDefault="00CB03C8" w:rsidP="00054BFF">
      <w:pPr>
        <w:spacing w:line="480" w:lineRule="auto"/>
        <w:jc w:val="center"/>
      </w:pPr>
    </w:p>
    <w:p w:rsidR="00CB03C8" w:rsidRDefault="00CB03C8" w:rsidP="00054BFF">
      <w:pPr>
        <w:spacing w:line="480" w:lineRule="auto"/>
        <w:jc w:val="center"/>
      </w:pPr>
    </w:p>
    <w:p w:rsidR="00CB03C8" w:rsidRDefault="00CB03C8" w:rsidP="00054BFF">
      <w:pPr>
        <w:spacing w:line="480" w:lineRule="auto"/>
        <w:jc w:val="center"/>
      </w:pPr>
    </w:p>
    <w:p w:rsidR="00CB03C8" w:rsidRDefault="00CB03C8" w:rsidP="00054BFF">
      <w:pPr>
        <w:spacing w:line="480" w:lineRule="auto"/>
        <w:jc w:val="center"/>
      </w:pPr>
    </w:p>
    <w:p w:rsidR="00CB03C8" w:rsidRDefault="00CB03C8" w:rsidP="00054BFF">
      <w:pPr>
        <w:spacing w:line="480" w:lineRule="auto"/>
        <w:jc w:val="center"/>
      </w:pPr>
    </w:p>
    <w:p w:rsidR="00CB03C8" w:rsidRDefault="00CB03C8" w:rsidP="00054BFF">
      <w:pPr>
        <w:spacing w:line="480" w:lineRule="auto"/>
      </w:pPr>
    </w:p>
    <w:p w:rsidR="00E1143E" w:rsidRDefault="004E6469" w:rsidP="00922B67">
      <w:pPr>
        <w:spacing w:line="480" w:lineRule="auto"/>
        <w:jc w:val="center"/>
      </w:pPr>
      <w:r>
        <w:t xml:space="preserve">Case Study: </w:t>
      </w:r>
      <w:r w:rsidR="00E1143E">
        <w:t>The Antigua – United States Online Gambling Dispute</w:t>
      </w:r>
    </w:p>
    <w:p w:rsidR="004E6469" w:rsidRDefault="004E6469" w:rsidP="00922B67">
      <w:pPr>
        <w:spacing w:line="480" w:lineRule="auto"/>
        <w:jc w:val="center"/>
      </w:pPr>
      <w:r>
        <w:t>Name</w:t>
      </w:r>
    </w:p>
    <w:p w:rsidR="004E6469" w:rsidRDefault="004E6469" w:rsidP="00922B67">
      <w:pPr>
        <w:spacing w:line="480" w:lineRule="auto"/>
        <w:jc w:val="center"/>
      </w:pPr>
      <w:r>
        <w:t>Institution of Affiliation</w:t>
      </w:r>
    </w:p>
    <w:p w:rsidR="00E1143E" w:rsidRDefault="00E1143E" w:rsidP="00054BFF">
      <w:pPr>
        <w:spacing w:line="480" w:lineRule="auto"/>
        <w:jc w:val="center"/>
      </w:pPr>
    </w:p>
    <w:p w:rsidR="00054BFF" w:rsidRDefault="00054BFF" w:rsidP="00054BFF">
      <w:pPr>
        <w:spacing w:line="480" w:lineRule="auto"/>
        <w:jc w:val="center"/>
      </w:pPr>
    </w:p>
    <w:p w:rsidR="00054BFF" w:rsidRDefault="00054BFF" w:rsidP="00054BFF">
      <w:pPr>
        <w:spacing w:line="480" w:lineRule="auto"/>
        <w:jc w:val="center"/>
      </w:pPr>
    </w:p>
    <w:p w:rsidR="00054BFF" w:rsidRDefault="00054BFF" w:rsidP="00054BFF">
      <w:pPr>
        <w:spacing w:line="480" w:lineRule="auto"/>
        <w:jc w:val="center"/>
      </w:pPr>
    </w:p>
    <w:p w:rsidR="00054BFF" w:rsidRDefault="00054BFF" w:rsidP="00054BFF">
      <w:pPr>
        <w:spacing w:line="480" w:lineRule="auto"/>
        <w:jc w:val="center"/>
      </w:pPr>
    </w:p>
    <w:p w:rsidR="00CB03C8" w:rsidRDefault="00CB03C8" w:rsidP="00054BFF">
      <w:pPr>
        <w:spacing w:line="480" w:lineRule="auto"/>
      </w:pPr>
    </w:p>
    <w:p w:rsidR="00922B67" w:rsidRDefault="00922B67">
      <w:r>
        <w:br w:type="page"/>
      </w:r>
    </w:p>
    <w:p w:rsidR="00922B67" w:rsidRPr="00922B67" w:rsidRDefault="00922B67" w:rsidP="00922B67">
      <w:pPr>
        <w:spacing w:line="480" w:lineRule="auto"/>
        <w:jc w:val="center"/>
        <w:rPr>
          <w:b/>
        </w:rPr>
      </w:pPr>
      <w:r w:rsidRPr="00922B67">
        <w:rPr>
          <w:b/>
        </w:rPr>
        <w:lastRenderedPageBreak/>
        <w:t>Case Study: The Antigua – United States Online Gambling Dispute</w:t>
      </w:r>
    </w:p>
    <w:p w:rsidR="00511629" w:rsidRDefault="00101885" w:rsidP="00054BFF">
      <w:pPr>
        <w:spacing w:line="480" w:lineRule="auto"/>
        <w:ind w:firstLine="720"/>
      </w:pPr>
      <w:r>
        <w:t xml:space="preserve">Antigua and Barbuda are tropical Caribbean islands </w:t>
      </w:r>
      <w:r w:rsidR="004E6469">
        <w:t>that</w:t>
      </w:r>
      <w:r>
        <w:t xml:space="preserve"> are organized as a single political entity. Hereafter, they shall be referred to Antigua. </w:t>
      </w:r>
      <w:r w:rsidR="00583739">
        <w:t>In the 1990s, Antigua had</w:t>
      </w:r>
      <w:r w:rsidR="00511629">
        <w:t xml:space="preserve"> high</w:t>
      </w:r>
      <w:r w:rsidR="004E6469">
        <w:t>-</w:t>
      </w:r>
      <w:r w:rsidR="00511629">
        <w:t xml:space="preserve">quality fiber optic cable </w:t>
      </w:r>
      <w:r w:rsidR="00583739">
        <w:t>connections, and companies based there</w:t>
      </w:r>
      <w:r w:rsidR="00511629">
        <w:t xml:space="preserve"> provided gambling services over the internet</w:t>
      </w:r>
      <w:r w:rsidR="00583739">
        <w:t xml:space="preserve"> (Wohl, 2009). At that time</w:t>
      </w:r>
      <w:r w:rsidR="004E6469">
        <w:t>,</w:t>
      </w:r>
      <w:r w:rsidR="00511629">
        <w:t xml:space="preserve"> gambling w</w:t>
      </w:r>
      <w:r w:rsidR="004B7BF8">
        <w:t>as the second contributor to the region’s</w:t>
      </w:r>
      <w:r w:rsidR="00511629">
        <w:t xml:space="preserve"> GDP after tourism. </w:t>
      </w:r>
    </w:p>
    <w:p w:rsidR="00B24434" w:rsidRPr="00B24434" w:rsidRDefault="00B24434" w:rsidP="00B24434">
      <w:pPr>
        <w:spacing w:line="480" w:lineRule="auto"/>
        <w:rPr>
          <w:b/>
        </w:rPr>
      </w:pPr>
      <w:r w:rsidRPr="00B24434">
        <w:rPr>
          <w:b/>
        </w:rPr>
        <w:t>Facts</w:t>
      </w:r>
    </w:p>
    <w:p w:rsidR="00B24434" w:rsidRDefault="00547A2F" w:rsidP="00054BFF">
      <w:pPr>
        <w:spacing w:line="480" w:lineRule="auto"/>
      </w:pPr>
      <w:r>
        <w:tab/>
        <w:t>The</w:t>
      </w:r>
      <w:r w:rsidR="00511629">
        <w:t xml:space="preserve"> United </w:t>
      </w:r>
      <w:r w:rsidR="004E6469">
        <w:t>S</w:t>
      </w:r>
      <w:r>
        <w:t xml:space="preserve">tates wanted to curb </w:t>
      </w:r>
      <w:r w:rsidR="00511629">
        <w:t>foreign</w:t>
      </w:r>
      <w:r w:rsidR="004E6469">
        <w:t>-</w:t>
      </w:r>
      <w:r w:rsidR="00511629">
        <w:t>based internet betting</w:t>
      </w:r>
      <w:r>
        <w:t xml:space="preserve"> in 1998</w:t>
      </w:r>
      <w:r w:rsidR="00511629">
        <w:t xml:space="preserve">. The </w:t>
      </w:r>
      <w:r>
        <w:t>onslaught</w:t>
      </w:r>
      <w:r w:rsidR="00511629">
        <w:t xml:space="preserve"> ended in </w:t>
      </w:r>
      <w:r w:rsidR="004E6469">
        <w:t xml:space="preserve">the </w:t>
      </w:r>
      <w:r w:rsidR="004A2F44">
        <w:t>prosecution of 21 US citizens associated</w:t>
      </w:r>
      <w:r w:rsidR="005D3D78">
        <w:t xml:space="preserve"> with online gambling. They were charged for violating</w:t>
      </w:r>
      <w:r w:rsidR="00511629">
        <w:t xml:space="preserve"> Wire Act</w:t>
      </w:r>
      <w:r w:rsidR="00C2755B">
        <w:t>,</w:t>
      </w:r>
      <w:r w:rsidR="005D3D78">
        <w:t xml:space="preserve"> which prohibited foreign online gambling website</w:t>
      </w:r>
      <w:r w:rsidR="00C2755B">
        <w:t>s</w:t>
      </w:r>
      <w:r w:rsidR="00D202B7">
        <w:t>. Among those prosecuted was</w:t>
      </w:r>
      <w:r w:rsidR="00511629">
        <w:t xml:space="preserve"> Jay Cohen. He was sentenced </w:t>
      </w:r>
      <w:r w:rsidR="004E6469">
        <w:t>to</w:t>
      </w:r>
      <w:r w:rsidR="00511629">
        <w:t xml:space="preserve"> 21 months and fined $5,000 for operating </w:t>
      </w:r>
      <w:r w:rsidR="004E6469">
        <w:t xml:space="preserve">a </w:t>
      </w:r>
      <w:r w:rsidR="00511629">
        <w:t>foreign</w:t>
      </w:r>
      <w:r w:rsidR="004E6469">
        <w:t>-</w:t>
      </w:r>
      <w:r w:rsidR="00511629">
        <w:t>based offshore betting website</w:t>
      </w:r>
      <w:r w:rsidR="005F1588">
        <w:t>, based in Antigua</w:t>
      </w:r>
      <w:r w:rsidR="00511629">
        <w:t xml:space="preserve">. </w:t>
      </w:r>
      <w:r w:rsidR="005F1588">
        <w:t>Mark Meadow</w:t>
      </w:r>
      <w:r w:rsidR="002723AC">
        <w:t xml:space="preserve">, a Texas </w:t>
      </w:r>
      <w:r w:rsidR="00C2755B">
        <w:t>a</w:t>
      </w:r>
      <w:r w:rsidR="002723AC">
        <w:t>ttorney,</w:t>
      </w:r>
      <w:r w:rsidR="005F1588">
        <w:t xml:space="preserve"> was hired by </w:t>
      </w:r>
      <w:r w:rsidR="00C2755B">
        <w:t>Antigua’s government</w:t>
      </w:r>
      <w:r w:rsidR="005F1588">
        <w:t xml:space="preserve"> to file a suit against the U</w:t>
      </w:r>
      <w:r w:rsidR="003512E1">
        <w:t>nited States</w:t>
      </w:r>
      <w:r w:rsidR="00025673">
        <w:t xml:space="preserve"> in the WTO for violating the </w:t>
      </w:r>
      <w:r w:rsidR="005F1588">
        <w:t>General Agreement on Trade in Services (GATS).</w:t>
      </w:r>
    </w:p>
    <w:p w:rsidR="00CB03C8" w:rsidRPr="00B24434" w:rsidRDefault="00B24434" w:rsidP="00054BFF">
      <w:pPr>
        <w:spacing w:line="480" w:lineRule="auto"/>
        <w:rPr>
          <w:b/>
        </w:rPr>
      </w:pPr>
      <w:r w:rsidRPr="00B24434">
        <w:rPr>
          <w:b/>
        </w:rPr>
        <w:t>Issues Involved</w:t>
      </w:r>
      <w:r w:rsidR="00044D79">
        <w:rPr>
          <w:b/>
        </w:rPr>
        <w:t xml:space="preserve"> and Decision Given</w:t>
      </w:r>
      <w:r w:rsidR="005F1588" w:rsidRPr="00B24434">
        <w:rPr>
          <w:b/>
        </w:rPr>
        <w:t xml:space="preserve"> </w:t>
      </w:r>
      <w:r w:rsidR="00511629" w:rsidRPr="00B24434">
        <w:rPr>
          <w:b/>
        </w:rPr>
        <w:t xml:space="preserve"> </w:t>
      </w:r>
    </w:p>
    <w:p w:rsidR="00612D89" w:rsidRDefault="00612D89" w:rsidP="00054BFF">
      <w:pPr>
        <w:spacing w:line="480" w:lineRule="auto"/>
      </w:pPr>
      <w:r>
        <w:tab/>
      </w:r>
      <w:r w:rsidR="00175C4F">
        <w:t xml:space="preserve">A dispute resolution process commenced </w:t>
      </w:r>
      <w:r w:rsidR="00C2755B">
        <w:t>i</w:t>
      </w:r>
      <w:r w:rsidR="00175C4F">
        <w:t>n March</w:t>
      </w:r>
      <w:r>
        <w:t xml:space="preserve"> 2003</w:t>
      </w:r>
      <w:r w:rsidR="00175C4F">
        <w:t>, with Antigua challenging</w:t>
      </w:r>
      <w:r>
        <w:t xml:space="preserve"> the </w:t>
      </w:r>
      <w:r w:rsidR="00175C4F">
        <w:t>United States ban on</w:t>
      </w:r>
      <w:r w:rsidR="004E6469">
        <w:t xml:space="preserve"> cross-border supply</w:t>
      </w:r>
      <w:r w:rsidR="00175C4F">
        <w:t xml:space="preserve"> of online gambling </w:t>
      </w:r>
      <w:r w:rsidR="00755B6D">
        <w:t>services. In June the same year, WTO established a dispute panel to solve the dispute. The panel</w:t>
      </w:r>
      <w:r w:rsidR="00264505">
        <w:t xml:space="preserve"> established that </w:t>
      </w:r>
      <w:r w:rsidR="00F37816">
        <w:t>the United States had</w:t>
      </w:r>
      <w:r w:rsidR="00755B6D">
        <w:t xml:space="preserve"> violated GATS section 10.D, which relates to other recreational services, excluding sports (Schwartz, 2005)</w:t>
      </w:r>
      <w:r w:rsidR="00724B91">
        <w:t>.  The policy allowed</w:t>
      </w:r>
      <w:r w:rsidR="00F37816">
        <w:t xml:space="preserve"> free trade in online gambling services</w:t>
      </w:r>
      <w:r w:rsidR="00724B91">
        <w:t>.</w:t>
      </w:r>
      <w:r w:rsidR="00C2755B">
        <w:t xml:space="preserve"> </w:t>
      </w:r>
      <w:r w:rsidR="00F37816">
        <w:t xml:space="preserve">Further, it was found that the three US federal laws, including the Wire Act, were in contravention with the GATS commitment. </w:t>
      </w:r>
    </w:p>
    <w:p w:rsidR="002162EF" w:rsidRDefault="00F37816" w:rsidP="00054BFF">
      <w:pPr>
        <w:spacing w:line="480" w:lineRule="auto"/>
      </w:pPr>
      <w:r>
        <w:lastRenderedPageBreak/>
        <w:tab/>
        <w:t xml:space="preserve">The </w:t>
      </w:r>
      <w:r w:rsidR="00F257EA">
        <w:t>United States</w:t>
      </w:r>
      <w:r>
        <w:t xml:space="preserve"> appealed this decision in January </w:t>
      </w:r>
      <w:r w:rsidR="00FA7F63">
        <w:t>2005 to the WTO appellate body</w:t>
      </w:r>
      <w:r w:rsidR="00C00F86">
        <w:t xml:space="preserve">. </w:t>
      </w:r>
      <w:r w:rsidR="00C2755B">
        <w:t>She argued</w:t>
      </w:r>
      <w:r w:rsidR="00C00F86">
        <w:t xml:space="preserve"> that restrictions imposed were informed by </w:t>
      </w:r>
      <w:r w:rsidR="00F257EA">
        <w:t>GATS article XIV, Moral Defense,</w:t>
      </w:r>
      <w:r w:rsidR="00C00F86">
        <w:t xml:space="preserve"> which allows countries to suspend the free trade when </w:t>
      </w:r>
      <w:r w:rsidR="00C2755B">
        <w:t xml:space="preserve">the </w:t>
      </w:r>
      <w:r w:rsidR="00C00F86">
        <w:t>morality of the society is threatened</w:t>
      </w:r>
      <w:r w:rsidR="00F257EA">
        <w:t xml:space="preserve">. The appellate body upheld the </w:t>
      </w:r>
      <w:r w:rsidR="00C2755B">
        <w:t>panel’s ruling</w:t>
      </w:r>
      <w:r w:rsidR="00F257EA">
        <w:t xml:space="preserve"> and ruled that the US did not meet the </w:t>
      </w:r>
      <w:r w:rsidR="004E6469">
        <w:t>moral defense article’s criteria</w:t>
      </w:r>
      <w:r w:rsidR="00F257EA">
        <w:t xml:space="preserve">.  </w:t>
      </w:r>
      <w:r w:rsidR="00CB4B0E">
        <w:t xml:space="preserve">A WTO arbiter set April 2006 as the deadline for </w:t>
      </w:r>
      <w:r w:rsidR="004E6469">
        <w:t xml:space="preserve">the </w:t>
      </w:r>
      <w:r w:rsidR="00CB4B0E">
        <w:t xml:space="preserve">US to comply with the verdict. However, the US </w:t>
      </w:r>
      <w:r w:rsidR="00F726F9">
        <w:t xml:space="preserve">did not comply with the verdict and sought to </w:t>
      </w:r>
      <w:r w:rsidR="00CB4B0E">
        <w:t>modify its commitments to exclu</w:t>
      </w:r>
      <w:r w:rsidR="004E6469">
        <w:t>de gambling services from its recreational services commitment exclusively</w:t>
      </w:r>
      <w:r w:rsidR="00F726F9">
        <w:t xml:space="preserve"> as provided by article XXI GATS.</w:t>
      </w:r>
    </w:p>
    <w:p w:rsidR="00CB03C8" w:rsidRDefault="002162EF" w:rsidP="00054BFF">
      <w:pPr>
        <w:spacing w:line="480" w:lineRule="auto"/>
      </w:pPr>
      <w:r>
        <w:tab/>
        <w:t xml:space="preserve">After the withdrawal, Antigua sought </w:t>
      </w:r>
      <w:r w:rsidR="00D06B94">
        <w:t>authorization</w:t>
      </w:r>
      <w:r>
        <w:t xml:space="preserve"> to reiterate against the US by </w:t>
      </w:r>
      <w:r w:rsidR="00D06B94">
        <w:t>interrupting</w:t>
      </w:r>
      <w:r>
        <w:t xml:space="preserve"> some of its obligations under the Agreement on Trade-Related Aspects of Intellectual Property Rights (TRIPS). Antigua wanted to suspend $3.4 billion worth of US Intellectual Property</w:t>
      </w:r>
      <w:r w:rsidR="00A9273C">
        <w:t xml:space="preserve"> annually to cover for the value that it would have generated from betting had the US complied with the WTO ruling. </w:t>
      </w:r>
      <w:r w:rsidR="000B1E34">
        <w:t xml:space="preserve">The WTO allowed the suspension but reduced the amount to $21 million annually, </w:t>
      </w:r>
      <w:r w:rsidR="00E34BC0">
        <w:t xml:space="preserve">which was equivalent to </w:t>
      </w:r>
      <w:bookmarkStart w:id="0" w:name="_GoBack"/>
      <w:bookmarkEnd w:id="0"/>
      <w:r w:rsidR="000B1E34">
        <w:t>Antigua’s annual i</w:t>
      </w:r>
      <w:r w:rsidR="00BE2831">
        <w:t>ncome from gambling for years 2</w:t>
      </w:r>
      <w:r w:rsidR="000B1E34">
        <w:t>001-2006 in the United States.</w:t>
      </w:r>
    </w:p>
    <w:p w:rsidR="00044D79" w:rsidRPr="004A4024" w:rsidRDefault="00044D79" w:rsidP="00054BFF">
      <w:pPr>
        <w:spacing w:line="480" w:lineRule="auto"/>
        <w:rPr>
          <w:b/>
        </w:rPr>
      </w:pPr>
      <w:r w:rsidRPr="004A4024">
        <w:rPr>
          <w:b/>
        </w:rPr>
        <w:t>My Opinion</w:t>
      </w:r>
    </w:p>
    <w:p w:rsidR="009058BB" w:rsidRDefault="008573E2" w:rsidP="008573E2">
      <w:pPr>
        <w:spacing w:line="480" w:lineRule="auto"/>
        <w:ind w:firstLine="720"/>
      </w:pPr>
      <w:r>
        <w:t>T</w:t>
      </w:r>
      <w:r w:rsidR="000B1E34">
        <w:t>he WTO gave a fair judgment. Having signed GATS</w:t>
      </w:r>
      <w:r w:rsidR="004E6469">
        <w:t>,</w:t>
      </w:r>
      <w:r w:rsidR="000B1E34">
        <w:t xml:space="preserve"> the United States was bound to comply with the articles. The reasons raised by the United States on Moral defense are substantial as gambling is addictive. However, the only way to evade conflict with other nations was to modify its GATS agreement to exclude online gambling. They did that and compensated the countries affected according to the treaty</w:t>
      </w:r>
      <w:r w:rsidR="00B80979">
        <w:t>.</w:t>
      </w:r>
      <w:r w:rsidR="005824E2">
        <w:t xml:space="preserve"> While the remedy given by WTO for reiteration was satisfactory, it was </w:t>
      </w:r>
      <w:r w:rsidR="004E6469">
        <w:t>challenging</w:t>
      </w:r>
      <w:r w:rsidR="005824E2">
        <w:t xml:space="preserve"> to implement</w:t>
      </w:r>
      <w:r w:rsidR="006D22BC">
        <w:t xml:space="preserve"> (Kennedy, 2016)</w:t>
      </w:r>
      <w:r w:rsidR="005824E2">
        <w:t xml:space="preserve">. This is because of other </w:t>
      </w:r>
      <w:r w:rsidR="00BF5ABA">
        <w:lastRenderedPageBreak/>
        <w:t xml:space="preserve">existing </w:t>
      </w:r>
      <w:r w:rsidR="005824E2">
        <w:t xml:space="preserve">trade agreements </w:t>
      </w:r>
      <w:r w:rsidR="004E6469">
        <w:t>that</w:t>
      </w:r>
      <w:r w:rsidR="005824E2">
        <w:t xml:space="preserve"> protect Intellectual</w:t>
      </w:r>
      <w:r w:rsidR="00A90D3B">
        <w:t xml:space="preserve"> Property</w:t>
      </w:r>
      <w:r w:rsidR="004E6469">
        <w:t>,</w:t>
      </w:r>
      <w:r w:rsidR="00A90D3B">
        <w:t xml:space="preserve"> such as </w:t>
      </w:r>
      <w:r w:rsidR="004E6469">
        <w:t xml:space="preserve">the </w:t>
      </w:r>
      <w:r w:rsidR="00F145C0">
        <w:t>Caribbean</w:t>
      </w:r>
      <w:r w:rsidR="00A90D3B">
        <w:t xml:space="preserve"> </w:t>
      </w:r>
      <w:r w:rsidR="00F145C0">
        <w:t>Basin Economic Recovery Act</w:t>
      </w:r>
      <w:r w:rsidR="006413AF">
        <w:t xml:space="preserve"> and other Paris agreements. </w:t>
      </w:r>
    </w:p>
    <w:p w:rsidR="009058BB" w:rsidRDefault="009058BB">
      <w:r>
        <w:br w:type="page"/>
      </w:r>
    </w:p>
    <w:p w:rsidR="000B1E34" w:rsidRDefault="009058BB" w:rsidP="009058BB">
      <w:pPr>
        <w:spacing w:line="480" w:lineRule="auto"/>
        <w:jc w:val="center"/>
      </w:pPr>
      <w:r>
        <w:lastRenderedPageBreak/>
        <w:t>References</w:t>
      </w:r>
    </w:p>
    <w:p w:rsidR="00786FAC" w:rsidRPr="00F73931" w:rsidRDefault="00786FAC" w:rsidP="00555C4A">
      <w:pPr>
        <w:spacing w:line="480" w:lineRule="auto"/>
        <w:ind w:left="720" w:hanging="720"/>
      </w:pPr>
      <w:r w:rsidRPr="00F73931">
        <w:t xml:space="preserve">Kennedy, M. (2016). </w:t>
      </w:r>
      <w:r w:rsidRPr="00F73931">
        <w:rPr>
          <w:iCs/>
        </w:rPr>
        <w:t xml:space="preserve">WTO </w:t>
      </w:r>
      <w:r w:rsidR="00B24434" w:rsidRPr="00F73931">
        <w:rPr>
          <w:iCs/>
        </w:rPr>
        <w:t xml:space="preserve">dispute settlement and the </w:t>
      </w:r>
      <w:r w:rsidRPr="00F73931">
        <w:rPr>
          <w:iCs/>
        </w:rPr>
        <w:t xml:space="preserve">TRIPS </w:t>
      </w:r>
      <w:r w:rsidR="00B24434" w:rsidRPr="00F73931">
        <w:rPr>
          <w:iCs/>
        </w:rPr>
        <w:t>agreement</w:t>
      </w:r>
      <w:r w:rsidR="00B24434" w:rsidRPr="00F73931">
        <w:t xml:space="preserve"> </w:t>
      </w:r>
      <w:r w:rsidRPr="00F73931">
        <w:t>(Vol. 24). Cambridge University Press.</w:t>
      </w:r>
    </w:p>
    <w:p w:rsidR="000B1E34" w:rsidRPr="00F73931" w:rsidRDefault="00321EF6" w:rsidP="00555C4A">
      <w:pPr>
        <w:spacing w:line="480" w:lineRule="auto"/>
        <w:ind w:left="720" w:hanging="720"/>
      </w:pPr>
      <w:r w:rsidRPr="00F73931">
        <w:t>Wohl, I. (2009). The Antigua-</w:t>
      </w:r>
      <w:r w:rsidR="00B24434" w:rsidRPr="00F73931">
        <w:t xml:space="preserve">United States </w:t>
      </w:r>
      <w:r w:rsidRPr="00F73931">
        <w:t xml:space="preserve">online gambling dispute. </w:t>
      </w:r>
      <w:r w:rsidRPr="00F73931">
        <w:rPr>
          <w:iCs/>
        </w:rPr>
        <w:t>J. Int</w:t>
      </w:r>
      <w:r w:rsidR="004E6469">
        <w:rPr>
          <w:iCs/>
        </w:rPr>
        <w:t xml:space="preserve">’ </w:t>
      </w:r>
      <w:r w:rsidRPr="00F73931">
        <w:rPr>
          <w:iCs/>
        </w:rPr>
        <w:t>l Com. &amp; Econ.</w:t>
      </w:r>
      <w:r w:rsidRPr="00F73931">
        <w:t xml:space="preserve">, </w:t>
      </w:r>
      <w:r w:rsidRPr="00F73931">
        <w:rPr>
          <w:iCs/>
        </w:rPr>
        <w:t>2</w:t>
      </w:r>
      <w:r w:rsidRPr="00F73931">
        <w:t>, 127.</w:t>
      </w:r>
    </w:p>
    <w:p w:rsidR="00F63508" w:rsidRPr="00F73931" w:rsidRDefault="00F63508" w:rsidP="00555C4A">
      <w:pPr>
        <w:spacing w:line="480" w:lineRule="auto"/>
        <w:ind w:left="720" w:hanging="720"/>
      </w:pPr>
      <w:r w:rsidRPr="00F73931">
        <w:t xml:space="preserve">Schwartz, D. G. (2005). </w:t>
      </w:r>
      <w:r w:rsidRPr="00F73931">
        <w:rPr>
          <w:iCs/>
        </w:rPr>
        <w:t xml:space="preserve">Cutting the wire: Gaming prohibition and the </w:t>
      </w:r>
      <w:r w:rsidR="004E6469">
        <w:rPr>
          <w:iCs/>
        </w:rPr>
        <w:t>i</w:t>
      </w:r>
      <w:r w:rsidRPr="00F73931">
        <w:rPr>
          <w:iCs/>
        </w:rPr>
        <w:t>nternet</w:t>
      </w:r>
      <w:r w:rsidRPr="00F73931">
        <w:t>. University of Nevada Press.</w:t>
      </w:r>
    </w:p>
    <w:sectPr w:rsidR="00F63508" w:rsidRPr="00F73931" w:rsidSect="005D1D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059" w:rsidRDefault="00701059" w:rsidP="00195B0A">
      <w:pPr>
        <w:spacing w:after="0" w:line="240" w:lineRule="auto"/>
      </w:pPr>
      <w:r>
        <w:separator/>
      </w:r>
    </w:p>
  </w:endnote>
  <w:endnote w:type="continuationSeparator" w:id="0">
    <w:p w:rsidR="00701059" w:rsidRDefault="00701059" w:rsidP="00195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059" w:rsidRDefault="00701059" w:rsidP="00195B0A">
      <w:pPr>
        <w:spacing w:after="0" w:line="240" w:lineRule="auto"/>
      </w:pPr>
      <w:r>
        <w:separator/>
      </w:r>
    </w:p>
  </w:footnote>
  <w:footnote w:type="continuationSeparator" w:id="0">
    <w:p w:rsidR="00701059" w:rsidRDefault="00701059" w:rsidP="00195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DA1" w:rsidRDefault="005D1DA1">
    <w:pPr>
      <w:pStyle w:val="Header"/>
      <w:jc w:val="right"/>
    </w:pPr>
    <w:r>
      <w:t>CASE STUDY</w:t>
    </w:r>
    <w:r>
      <w:tab/>
    </w:r>
    <w:r>
      <w:tab/>
    </w:r>
    <w:sdt>
      <w:sdtPr>
        <w:id w:val="-15856780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755B">
          <w:rPr>
            <w:noProof/>
          </w:rPr>
          <w:t>5</w:t>
        </w:r>
        <w:r>
          <w:rPr>
            <w:noProof/>
          </w:rPr>
          <w:fldChar w:fldCharType="end"/>
        </w:r>
      </w:sdtContent>
    </w:sdt>
  </w:p>
  <w:p w:rsidR="00195B0A" w:rsidRDefault="00195B0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DA1" w:rsidRDefault="005D1DA1">
    <w:pPr>
      <w:pStyle w:val="Header"/>
    </w:pPr>
    <w:r>
      <w:t>Running head: CASE 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xtTQ2MbO0NDIyNzNR0lEKTi0uzszPAykwqgUAK1yHOywAAAA="/>
  </w:docVars>
  <w:rsids>
    <w:rsidRoot w:val="00CB03C8"/>
    <w:rsid w:val="00025673"/>
    <w:rsid w:val="00044D79"/>
    <w:rsid w:val="00054BFF"/>
    <w:rsid w:val="00094B08"/>
    <w:rsid w:val="000B1E34"/>
    <w:rsid w:val="00101885"/>
    <w:rsid w:val="00106BFF"/>
    <w:rsid w:val="00175C4F"/>
    <w:rsid w:val="00184041"/>
    <w:rsid w:val="00195B0A"/>
    <w:rsid w:val="002078AA"/>
    <w:rsid w:val="002162EF"/>
    <w:rsid w:val="00220CC3"/>
    <w:rsid w:val="00264505"/>
    <w:rsid w:val="002723AC"/>
    <w:rsid w:val="002F6C42"/>
    <w:rsid w:val="00321EF6"/>
    <w:rsid w:val="003512E1"/>
    <w:rsid w:val="003B33F7"/>
    <w:rsid w:val="003C44F0"/>
    <w:rsid w:val="003E40BA"/>
    <w:rsid w:val="003F60B4"/>
    <w:rsid w:val="0044622B"/>
    <w:rsid w:val="004A2F44"/>
    <w:rsid w:val="004A4024"/>
    <w:rsid w:val="004B7BF8"/>
    <w:rsid w:val="004E6469"/>
    <w:rsid w:val="00511629"/>
    <w:rsid w:val="00547A2F"/>
    <w:rsid w:val="00555C4A"/>
    <w:rsid w:val="005824E2"/>
    <w:rsid w:val="00583739"/>
    <w:rsid w:val="005D1DA1"/>
    <w:rsid w:val="005D3D78"/>
    <w:rsid w:val="005F1588"/>
    <w:rsid w:val="00612D89"/>
    <w:rsid w:val="006413AF"/>
    <w:rsid w:val="006D22BC"/>
    <w:rsid w:val="00701059"/>
    <w:rsid w:val="00724B91"/>
    <w:rsid w:val="00755B6D"/>
    <w:rsid w:val="00786FAC"/>
    <w:rsid w:val="0084673E"/>
    <w:rsid w:val="008573E2"/>
    <w:rsid w:val="008F4521"/>
    <w:rsid w:val="009058BB"/>
    <w:rsid w:val="00922B67"/>
    <w:rsid w:val="009D6C56"/>
    <w:rsid w:val="00A36942"/>
    <w:rsid w:val="00A90D3B"/>
    <w:rsid w:val="00A9273C"/>
    <w:rsid w:val="00AF6B35"/>
    <w:rsid w:val="00B24434"/>
    <w:rsid w:val="00B80979"/>
    <w:rsid w:val="00B87F20"/>
    <w:rsid w:val="00BB6958"/>
    <w:rsid w:val="00BE2831"/>
    <w:rsid w:val="00BF5ABA"/>
    <w:rsid w:val="00C00F86"/>
    <w:rsid w:val="00C2755B"/>
    <w:rsid w:val="00CB03C8"/>
    <w:rsid w:val="00CB4B0E"/>
    <w:rsid w:val="00D06B94"/>
    <w:rsid w:val="00D202B7"/>
    <w:rsid w:val="00E1143E"/>
    <w:rsid w:val="00E34BC0"/>
    <w:rsid w:val="00E37855"/>
    <w:rsid w:val="00F145C0"/>
    <w:rsid w:val="00F257EA"/>
    <w:rsid w:val="00F37816"/>
    <w:rsid w:val="00F63508"/>
    <w:rsid w:val="00F726F9"/>
    <w:rsid w:val="00F73931"/>
    <w:rsid w:val="00FA7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45D20"/>
  <w15:chartTrackingRefBased/>
  <w15:docId w15:val="{9E3B70BA-E5C5-476F-97B7-9E9661C3D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B0A"/>
  </w:style>
  <w:style w:type="paragraph" w:styleId="Footer">
    <w:name w:val="footer"/>
    <w:basedOn w:val="Normal"/>
    <w:link w:val="FooterChar"/>
    <w:uiPriority w:val="99"/>
    <w:unhideWhenUsed/>
    <w:rsid w:val="00195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44614">
      <w:bodyDiv w:val="1"/>
      <w:marLeft w:val="0"/>
      <w:marRight w:val="0"/>
      <w:marTop w:val="0"/>
      <w:marBottom w:val="0"/>
      <w:divBdr>
        <w:top w:val="none" w:sz="0" w:space="0" w:color="auto"/>
        <w:left w:val="none" w:sz="0" w:space="0" w:color="auto"/>
        <w:bottom w:val="none" w:sz="0" w:space="0" w:color="auto"/>
        <w:right w:val="none" w:sz="0" w:space="0" w:color="auto"/>
      </w:divBdr>
    </w:div>
    <w:div w:id="161699010">
      <w:bodyDiv w:val="1"/>
      <w:marLeft w:val="0"/>
      <w:marRight w:val="0"/>
      <w:marTop w:val="0"/>
      <w:marBottom w:val="0"/>
      <w:divBdr>
        <w:top w:val="none" w:sz="0" w:space="0" w:color="auto"/>
        <w:left w:val="none" w:sz="0" w:space="0" w:color="auto"/>
        <w:bottom w:val="none" w:sz="0" w:space="0" w:color="auto"/>
        <w:right w:val="none" w:sz="0" w:space="0" w:color="auto"/>
      </w:divBdr>
    </w:div>
    <w:div w:id="2112506091">
      <w:bodyDiv w:val="1"/>
      <w:marLeft w:val="0"/>
      <w:marRight w:val="0"/>
      <w:marTop w:val="0"/>
      <w:marBottom w:val="0"/>
      <w:divBdr>
        <w:top w:val="none" w:sz="0" w:space="0" w:color="auto"/>
        <w:left w:val="none" w:sz="0" w:space="0" w:color="auto"/>
        <w:bottom w:val="none" w:sz="0" w:space="0" w:color="auto"/>
        <w:right w:val="none" w:sz="0" w:space="0" w:color="auto"/>
      </w:divBdr>
    </w:div>
    <w:div w:id="211674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Woh09</b:Tag>
    <b:SourceType>JournalArticle</b:SourceType>
    <b:Guid>{C84FE263-6627-4DC0-A60B-33FC070F7878}</b:Guid>
    <b:Title>The antigua-united states online gambling dispute.</b:Title>
    <b:Year>2009</b:Year>
    <b:Author>
      <b:Author>
        <b:NameList>
          <b:Person>
            <b:Last>Wohl</b:Last>
            <b:First>I</b:First>
          </b:Person>
        </b:NameList>
      </b:Author>
    </b:Author>
    <b:JournalName>J. Int'l Com. &amp; Econ.</b:JournalName>
    <b:Pages>2,127</b:Pages>
    <b:RefOrder>2</b:RefOrder>
  </b:Source>
  <b:Source>
    <b:Tag>Woh091</b:Tag>
    <b:SourceType>JournalArticle</b:SourceType>
    <b:Guid>{9B86AE04-E925-4565-92C6-27AE003C4F64}</b:Guid>
    <b:Author>
      <b:Author>
        <b:Corporate>Wohl, Isaac</b:Corporate>
      </b:Author>
    </b:Author>
    <b:Title>The antigua-united states online gambling dispute.</b:Title>
    <b:JournalName> J. Int'l Com. &amp; Econ.</b:JournalName>
    <b:Year>2009</b:Year>
    <b:Pages>2,127</b:Pages>
    <b:RefOrder>1</b:RefOrder>
  </b:Source>
</b:Sources>
</file>

<file path=customXml/itemProps1.xml><?xml version="1.0" encoding="utf-8"?>
<ds:datastoreItem xmlns:ds="http://schemas.openxmlformats.org/officeDocument/2006/customXml" ds:itemID="{44C2C127-185E-4E2F-AF8C-ED517E7FF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2020-10-06T13:24:00Z</dcterms:created>
  <dcterms:modified xsi:type="dcterms:W3CDTF">2020-10-06T13:26:00Z</dcterms:modified>
</cp:coreProperties>
</file>